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2" w:rsidRPr="00F015D2" w:rsidRDefault="00F015D2" w:rsidP="00F015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01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INPS: novità su cassa integrazione e assegno ordinario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Pubblicato il 7 </w:t>
      </w:r>
      <w:proofErr w:type="spellStart"/>
      <w:r w:rsidRPr="00F015D2">
        <w:rPr>
          <w:rFonts w:ascii="Times New Roman" w:eastAsia="Times New Roman" w:hAnsi="Times New Roman" w:cs="Times New Roman"/>
          <w:sz w:val="24"/>
          <w:szCs w:val="24"/>
        </w:rPr>
        <w:t>Giu</w:t>
      </w:r>
      <w:proofErr w:type="spell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0555" cy="1900555"/>
            <wp:effectExtent l="19050" t="0" r="4445" b="0"/>
            <wp:docPr id="1" name="Immagine 1" descr="https://i2.wp.com/www.dottrinalavoro.it/wp-content/uploads/2018/10/INPS-200.jpg?resize=200%2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dottrinalavoro.it/wp-content/uploads/2018/10/INPS-200.jpg?resize=200%2C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>L’INPS fornisce una sintesi di alcuni delle principali novità che saranno ulteriormente dettagliati con specifiche circolari dell’Istituto in corso di adozione.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Riguardo alla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Cassa Integrazione ordinaria e all’assegno ordinario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>, la principale novità normativa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consiste nella possibilità per le aziende di richiedere un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ulteriore periodo non superiore a cinque settimane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con la causale “COVID-19 nazionale”, per periodi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dal 23 febbraio 2020 al 31 agosto 2020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. Questa tranche aggiuntiva rispetto a quella originariamente prevista dal DL 18/20 è, tuttavia,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subordinata all’effettivo completamento della </w:t>
      </w:r>
      <w:proofErr w:type="gramStart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fruizione</w:t>
      </w:r>
      <w:proofErr w:type="gramEnd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delle prime nove settimane di integrazione salariale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Per la gestione della quota incrementale, è stato individuato un </w:t>
      </w:r>
      <w:r w:rsidRPr="00F015D2">
        <w:rPr>
          <w:rFonts w:ascii="Times New Roman" w:eastAsia="Times New Roman" w:hAnsi="Times New Roman" w:cs="Times New Roman"/>
          <w:i/>
          <w:iCs/>
          <w:sz w:val="24"/>
          <w:szCs w:val="24"/>
        </w:rPr>
        <w:t>iter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procedurale snello che,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rispetto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del dettato normativo, consente ai datori di lavoro la possibilità di accedere al trattamento (sia residuale che complessivo, fino a un massimo di quattordici settimane) attraverso l’invio anche di un’unica domanda.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Nelle linee guida in corso di adozione per la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regolamentazione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del “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periodo fruito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”, è previsto un flusso di comunicazioni che consente alle aziende di allegare </w:t>
      </w:r>
      <w:proofErr w:type="spellStart"/>
      <w:r w:rsidRPr="00F015D2">
        <w:rPr>
          <w:rFonts w:ascii="Times New Roman" w:eastAsia="Times New Roman" w:hAnsi="Times New Roman" w:cs="Times New Roman"/>
          <w:i/>
          <w:iCs/>
          <w:sz w:val="24"/>
          <w:szCs w:val="24"/>
        </w:rPr>
        <w:t>files</w:t>
      </w:r>
      <w:proofErr w:type="spell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con valenza </w:t>
      </w:r>
      <w:proofErr w:type="spellStart"/>
      <w:r w:rsidRPr="00F015D2">
        <w:rPr>
          <w:rFonts w:ascii="Times New Roman" w:eastAsia="Times New Roman" w:hAnsi="Times New Roman" w:cs="Times New Roman"/>
          <w:sz w:val="24"/>
          <w:szCs w:val="24"/>
        </w:rPr>
        <w:t>autocertificativa</w:t>
      </w:r>
      <w:proofErr w:type="spellEnd"/>
      <w:r w:rsidRPr="00F015D2">
        <w:rPr>
          <w:rFonts w:ascii="Times New Roman" w:eastAsia="Times New Roman" w:hAnsi="Times New Roman" w:cs="Times New Roman"/>
          <w:sz w:val="24"/>
          <w:szCs w:val="24"/>
        </w:rPr>
        <w:t>, sia in caso di richiesta di pagamento diretto che nelle ipotesi di anticipazione della prestazione e conseguente conguaglio contributivo.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>Altra rilevante innovazione è quella inerente ai termini di trasmissione delle domande.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hyperlink r:id="rId6" w:tgtFrame="_blank" w:history="1">
        <w:r w:rsidRPr="00F01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decreto legge n. 34/2020</w:t>
        </w:r>
      </w:hyperlink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introduce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termini più stringenti per l’invio delle istanze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con previsione di una penalizzazione nei casi in cui la domanda sia presentata oltre il termine stabilito.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Al fine di consentire alle aziende un più graduale adeguamento ai nuovi e più rigorosi termini di presentazione delle domande, è stata individuata una scadenza differita alla fine del mese successivo a quello di entrata in vigore del </w:t>
      </w:r>
      <w:hyperlink r:id="rId7" w:tgtFrame="_blank" w:history="1">
        <w:r w:rsidRPr="00F01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decreto legge n. 34/2020</w:t>
        </w:r>
      </w:hyperlink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30 giugno 2020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l’invio delle istanze da parte dei datori che hanno già presentato domanda di CIGO o assegno ordinario per periodi di sospensione o riduzione dell’attività lavorativa che iniziano all’interno del periodo tra il 23 febbraio 2020 e il 30 aprile 2020 e che debbano trasmettere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una nuova domanda per completare la fruizione delle 9 settimane o per richiedere ulteriori settimane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Qualora la domanda sia presentata dopo il termine indicato nella circolare, opera la penalizzazione prevista dalla norma con la conseguenza che l’eventuale trattamento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>integrazione salariale non potrà aver luogo per periodi anteriori di una settimana rispetto alla data di presentazione.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Riguardo alla novella legislativa che prevede la possibilità di riconoscere alle aziende un’eventuale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ulteriore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5D2">
        <w:rPr>
          <w:rFonts w:ascii="Times New Roman" w:eastAsia="Times New Roman" w:hAnsi="Times New Roman" w:cs="Times New Roman"/>
          <w:i/>
          <w:iCs/>
          <w:sz w:val="24"/>
          <w:szCs w:val="24"/>
        </w:rPr>
        <w:t>tranche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di durata massima di quattro settimane di trattamenti di </w:t>
      </w:r>
      <w:proofErr w:type="spellStart"/>
      <w:r w:rsidRPr="00F015D2">
        <w:rPr>
          <w:rFonts w:ascii="Times New Roman" w:eastAsia="Times New Roman" w:hAnsi="Times New Roman" w:cs="Times New Roman"/>
          <w:sz w:val="24"/>
          <w:szCs w:val="24"/>
        </w:rPr>
        <w:t>Cigo</w:t>
      </w:r>
      <w:proofErr w:type="spell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e Assegno ordinario, da collocarsi esclusivamente all’interno del periodo 1° settembre 2020 – 31 ottobre 2020, in considerazione della tecnica legislativa utilizzata, che ne subordina la concessione all’adozione di uno o più decreti interministeriali, si fa rinvio a più dettagliate istruzioni, una volta realizzatesi le condizioni fissate dalla norma.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>Ulteriori principali novità sono la concessione dell’assegno per il nucleo familiare (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ANF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ai beneficiari dell’assegno ordinario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a seguito della sospensione o riduzione dell’attività lavorativa in conseguenza dell’emergenza da COVID-19, limitatamente a detta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causale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, in rapporto al periodo di paga adottato e alle medesime condizioni dei lavoratori ad orario normale. Il riconoscimento dell’assegno al nucleo familiare (ANF) troverà attuazione con riferimento agli assegni ordinari concessi dai Fondi di solidarietà bilaterali ex art.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26 del </w:t>
      </w:r>
      <w:proofErr w:type="spellStart"/>
      <w:r w:rsidRPr="00F015D2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148/15 e dal FIS a seguito della sospensione o riduzione dell’attività a seguito dell’emergenza da COVID-19,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per periodi decor</w:t>
      </w:r>
      <w:proofErr w:type="gramEnd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renti dal 23 febbraio al 31 agosto 2020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inserito un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termine di invio da parte delle aziende delle informazioni necessarie per il pagamento da parte dell’INPS ai lavoratori sospesi per i quali è stato scelto il pagamento diretto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, sia in caso di cassa integrazione ordinaria, assegno ordinario e cassa integrazione in deroga. In particolare,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queste domande che hanno richiesto sospensioni nel periodo ricompreso tra il 23 febbraio 2020 </w:t>
      </w:r>
      <w:proofErr w:type="gramStart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 30 aprile 2020, e siano state già autorizzate, i datori di lavoro, ove non abbiano già provveduto, devono comunicare all’INPS i dati necessari con il modello SR41 entro l’8 giugno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prossimo,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quale termine ordinatorio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. Chiaramente l’adempimento riguarda nel dettaglio il pagamento delle mensilità di marzo e di aprile, mentre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per le sospensioni effettuate nel mese di maggio, le aziende avranno un tempo congruo appena i dati sono resi disponibili dagli applicativi delle buste paghe dei lavoratori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ulteriore novità di rilievo prevista dal decreto consiste nella previsione che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le ulteriori 5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(più 4)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settimane di Cassa integrazione in deroga vengano autorizzate direttamente dall’INPS, a cui andrà presentata la domanda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datori di lavoro, che dovranno chiedere l’autorizzazione delle prime </w:t>
      </w:r>
      <w:proofErr w:type="gramStart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Pr="00F01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esclusivamente alle Regioni, potranno, a decorrere dal 18 giugno, chiedere le ulteriori settimane all’Istituto</w:t>
      </w:r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. Rimane la competenza dei rispettivi Fondi di solidarietà territoriale per la deroga </w:t>
      </w:r>
      <w:proofErr w:type="gramStart"/>
      <w:r w:rsidRPr="00F015D2">
        <w:rPr>
          <w:rFonts w:ascii="Times New Roman" w:eastAsia="Times New Roman" w:hAnsi="Times New Roman" w:cs="Times New Roman"/>
          <w:sz w:val="24"/>
          <w:szCs w:val="24"/>
        </w:rPr>
        <w:t>afferente</w:t>
      </w:r>
      <w:proofErr w:type="gramEnd"/>
      <w:r w:rsidRPr="00F015D2">
        <w:rPr>
          <w:rFonts w:ascii="Times New Roman" w:eastAsia="Times New Roman" w:hAnsi="Times New Roman" w:cs="Times New Roman"/>
          <w:sz w:val="24"/>
          <w:szCs w:val="24"/>
        </w:rPr>
        <w:t xml:space="preserve"> alle Province Autonome di Trento e Bolzano.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i/>
          <w:iCs/>
          <w:sz w:val="24"/>
          <w:szCs w:val="24"/>
        </w:rPr>
        <w:t>Fonte: INPS</w:t>
      </w:r>
    </w:p>
    <w:p w:rsidR="00F015D2" w:rsidRPr="00F015D2" w:rsidRDefault="00F015D2" w:rsidP="00F01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5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8DE" w:rsidRDefault="007918DE"/>
    <w:sectPr w:rsidR="007918DE" w:rsidSect="00791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D2"/>
    <w:rsid w:val="003A41B4"/>
    <w:rsid w:val="003C56E8"/>
    <w:rsid w:val="00635314"/>
    <w:rsid w:val="007918DE"/>
    <w:rsid w:val="00BA6F23"/>
    <w:rsid w:val="00C85B19"/>
    <w:rsid w:val="00F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5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F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15D2"/>
    <w:rPr>
      <w:b/>
      <w:bCs/>
    </w:rPr>
  </w:style>
  <w:style w:type="character" w:styleId="Enfasicorsivo">
    <w:name w:val="Emphasis"/>
    <w:basedOn w:val="Carpredefinitoparagrafo"/>
    <w:uiPriority w:val="20"/>
    <w:qFormat/>
    <w:rsid w:val="00F015D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015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5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F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0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15D2"/>
    <w:rPr>
      <w:b/>
      <w:bCs/>
    </w:rPr>
  </w:style>
  <w:style w:type="character" w:styleId="Enfasicorsivo">
    <w:name w:val="Emphasis"/>
    <w:basedOn w:val="Carpredefinitoparagrafo"/>
    <w:uiPriority w:val="20"/>
    <w:qFormat/>
    <w:rsid w:val="00F015D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015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:nir:stato:decreto.legge:2020;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mattiva.it/uri-res/N2Ls?urn:nir:stato:decreto.legge:2020;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Max</cp:lastModifiedBy>
  <cp:revision>2</cp:revision>
  <cp:lastPrinted>2020-06-08T10:22:00Z</cp:lastPrinted>
  <dcterms:created xsi:type="dcterms:W3CDTF">2020-06-08T10:26:00Z</dcterms:created>
  <dcterms:modified xsi:type="dcterms:W3CDTF">2020-06-08T10:26:00Z</dcterms:modified>
</cp:coreProperties>
</file>